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03</w:t>
      </w:r>
      <w:r>
        <w:t xml:space="preserve"> </w:t>
      </w:r>
      <w:r>
        <w:t xml:space="preserve">·</w:t>
      </w:r>
      <w:r>
        <w:t xml:space="preserve"> </w:t>
      </w:r>
      <w:r>
        <w:t xml:space="preserve">La</w:t>
      </w:r>
      <w:r>
        <w:t xml:space="preserve"> </w:t>
      </w:r>
      <w:r>
        <w:t xml:space="preserve">magie</w:t>
      </w:r>
      <w:r>
        <w:t xml:space="preserve"> </w:t>
      </w:r>
      <w:r>
        <w:t xml:space="preserve">en</w:t>
      </w:r>
      <w:r>
        <w:t xml:space="preserve"> </w:t>
      </w:r>
      <w:r>
        <w:t xml:space="preserve">Terre</w:t>
      </w:r>
      <w:r>
        <w:t xml:space="preserve"> </w:t>
      </w:r>
      <w:r>
        <w:t xml:space="preserve">du</w:t>
      </w:r>
      <w:r>
        <w:t xml:space="preserve"> </w:t>
      </w:r>
      <w:r>
        <w:t xml:space="preserve">Milieu</w:t>
      </w:r>
    </w:p>
    <w:bookmarkStart w:id="32" w:name="la-magie-en-terre-du-milieu"/>
    <w:p>
      <w:pPr>
        <w:pStyle w:val="Titre1"/>
      </w:pPr>
      <w:r>
        <w:t xml:space="preserve">La magie en Terre du Milieu</w:t>
      </w:r>
    </w:p>
    <w:p>
      <w:pPr>
        <w:pStyle w:val="FirstParagraph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orpsdetexte"/>
      </w:pPr>
      <w:r>
        <w:t xml:space="preserve">Pour partir de sources sérieuses, nous avons choisi un éminent</w:t>
      </w:r>
      <w:r>
        <w:t xml:space="preserve"> </w:t>
      </w:r>
      <w:r>
        <w:t xml:space="preserve">Tolkiendil,</w:t>
      </w:r>
      <w:r>
        <w:t xml:space="preserve"> </w:t>
      </w:r>
      <w:r>
        <w:rPr>
          <w:bCs/>
          <w:b/>
        </w:rPr>
        <w:t xml:space="preserve">Erik Tracy</w:t>
      </w:r>
      <w:r>
        <w:t xml:space="preserve">, dont l’étude « </w:t>
      </w:r>
      <w:hyperlink r:id="rId23">
        <w:r>
          <w:rPr>
            <w:rStyle w:val="Hyperlink"/>
          </w:rPr>
          <w:t xml:space="preserve">Magie et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Sorts en Terre du Milieu</w:t>
        </w:r>
      </w:hyperlink>
      <w:r>
        <w:t xml:space="preserve"> » , traduite de l’anglais par Odilon Dubost</w:t>
      </w:r>
      <w:r>
        <w:t xml:space="preserve"> </w:t>
      </w:r>
      <w:r>
        <w:t xml:space="preserve">sur le site</w:t>
      </w:r>
      <w:r>
        <w:t xml:space="preserve"> </w:t>
      </w:r>
      <w:hyperlink r:id="rId24">
        <w:r>
          <w:rPr>
            <w:rStyle w:val="Hyperlink"/>
          </w:rPr>
          <w:t xml:space="preserve">tolkiendil.com</w:t>
        </w:r>
      </w:hyperlink>
      <w:r>
        <w:t xml:space="preserve">, va</w:t>
      </w:r>
      <w:r>
        <w:t xml:space="preserve"> </w:t>
      </w:r>
      <w:r>
        <w:t xml:space="preserve">nous servir de base pour envisager une transposition dans le jeu de</w:t>
      </w:r>
      <w:r>
        <w:t xml:space="preserve"> </w:t>
      </w:r>
      <w:r>
        <w:t xml:space="preserve">rôles. Il est conseillé aux MJs et aux joueurs de mages de lire</w:t>
      </w:r>
      <w:r>
        <w:t xml:space="preserve"> </w:t>
      </w:r>
      <w:r>
        <w:t xml:space="preserve">l’ensemble de l’étude.</w:t>
      </w:r>
    </w:p>
    <w:bookmarkStart w:id="28" w:name="X41efabba6d1bd20370f2e386e4a74caf8b7a0d8"/>
    <w:p>
      <w:pPr>
        <w:pStyle w:val="Titre2"/>
      </w:pPr>
      <w:r>
        <w:t xml:space="preserve">La magie</w:t>
      </w:r>
      <w:r>
        <w:t xml:space="preserve"> </w:t>
      </w:r>
      <w:r>
        <w:t xml:space="preserve">existe-t-elle en Terre du Milieu ?</w:t>
      </w:r>
    </w:p>
    <w:p>
      <w:pPr>
        <w:pStyle w:val="FirstParagraph"/>
      </w:pPr>
      <w:r>
        <w:t xml:space="preserve">Tolkien admet que la « magie » existe en Terre du Milieu, mais</w:t>
      </w:r>
      <w:r>
        <w:t xml:space="preserve"> </w:t>
      </w:r>
      <w:r>
        <w:t xml:space="preserve">seulement certains personnages peuvent l’utiliser.</w:t>
      </w:r>
    </w:p>
    <w:p>
      <w:pPr>
        <w:pStyle w:val="Corpsdetexte"/>
      </w:pPr>
      <w:r>
        <w:t xml:space="preserve">Nous avons ici une confirmation d’une évidence : le monde de la Terre</w:t>
      </w:r>
      <w:r>
        <w:t xml:space="preserve"> </w:t>
      </w:r>
      <w:r>
        <w:t xml:space="preserve">du Milieu est baigné dans la magie, la magie existe, son accès est</w:t>
      </w:r>
      <w:r>
        <w:t xml:space="preserve"> </w:t>
      </w:r>
      <w:r>
        <w:t xml:space="preserve">simplement restreint à certaines personnes. Ouf ! Voyons quelles sont</w:t>
      </w:r>
      <w:r>
        <w:t xml:space="preserve"> </w:t>
      </w:r>
      <w:r>
        <w:t xml:space="preserve">les créatures supposées utiliser cette magie.</w:t>
      </w:r>
    </w:p>
    <w:bookmarkStart w:id="25" w:name="qui-peut-utiliser-cette-magie"/>
    <w:p>
      <w:pPr>
        <w:pStyle w:val="Titre3"/>
      </w:pPr>
      <w:r>
        <w:t xml:space="preserve">Qui peut utiliser cette magie</w:t>
      </w:r>
      <w:r>
        <w:t xml:space="preserve"> </w:t>
      </w:r>
      <w:r>
        <w:t xml:space="preserve">?</w:t>
      </w:r>
    </w:p>
    <w:p>
      <w:pPr>
        <w:pStyle w:val="FirstParagraph"/>
      </w:pPr>
      <w:r>
        <w:t xml:space="preserve">Tolkien pensait que la « magie » en Terre du Milieu était dérivée</w:t>
      </w:r>
      <w:r>
        <w:t xml:space="preserve"> </w:t>
      </w:r>
      <w:r>
        <w:t xml:space="preserve">d’une force inhérente à l’individu. Les Elfes ont reçu cette capacité,</w:t>
      </w:r>
      <w:r>
        <w:t xml:space="preserve"> </w:t>
      </w:r>
      <w:r>
        <w:t xml:space="preserve">mais les Hommes et les autres races de la Terre du Milieu (Nains,</w:t>
      </w:r>
      <w:r>
        <w:t xml:space="preserve"> </w:t>
      </w:r>
      <w:r>
        <w:t xml:space="preserve">Hobbits, Orques, etc.) n’ont pas ce type de pouvoir.</w:t>
      </w:r>
    </w:p>
    <w:p>
      <w:pPr>
        <w:pStyle w:val="Corpsdetexte"/>
      </w:pPr>
      <w:r>
        <w:t xml:space="preserve">Remarquons que Tolkien fait une distinction entre l’utilisation de la</w:t>
      </w:r>
      <w:r>
        <w:t xml:space="preserve"> </w:t>
      </w:r>
      <w:r>
        <w:t xml:space="preserve">« magie » et celui de « sorts » . De toutes les races de la Terre du</w:t>
      </w:r>
      <w:r>
        <w:t xml:space="preserve"> </w:t>
      </w:r>
      <w:r>
        <w:t xml:space="preserve">Milieu, seuls les Elfes (et les Magiciens, mais ils ne sont pas une</w:t>
      </w:r>
      <w:r>
        <w:t xml:space="preserve"> </w:t>
      </w:r>
      <w:r>
        <w:t xml:space="preserve">race) peuvent se servir de la magie - c’est-à-dire l’utilisation d’un</w:t>
      </w:r>
      <w:r>
        <w:t xml:space="preserve"> </w:t>
      </w:r>
      <w:r>
        <w:t xml:space="preserve">pouvoir inné et inhérent de créer des états ou des objets. Cependant, il</w:t>
      </w:r>
      <w:r>
        <w:t xml:space="preserve"> </w:t>
      </w:r>
      <w:r>
        <w:t xml:space="preserve">continue à expliquer qu’il y a quelques exceptions à cela (comme presque</w:t>
      </w:r>
      <w:r>
        <w:t xml:space="preserve"> </w:t>
      </w:r>
      <w:r>
        <w:t xml:space="preserve">tout en Terre du Milieu), plus particulièrement dans le cas d’Aragorn, à</w:t>
      </w:r>
      <w:r>
        <w:t xml:space="preserve"> </w:t>
      </w:r>
      <w:r>
        <w:t xml:space="preserve">cause de son ascendance elfique.</w:t>
      </w:r>
    </w:p>
    <w:p>
      <w:pPr>
        <w:pStyle w:val="BlockText"/>
      </w:pPr>
      <w:r>
        <w:t xml:space="preserve">« La faculté de guérir d’Aragorn peut être considérée comme</w:t>
      </w:r>
      <w:r>
        <w:t xml:space="preserve"> </w:t>
      </w:r>
      <w:r>
        <w:t xml:space="preserve">“magique”, ou au moins comme un mélange de magie, de pharmacie et de</w:t>
      </w:r>
      <w:r>
        <w:t xml:space="preserve"> </w:t>
      </w:r>
      <w:r>
        <w:t xml:space="preserve">procédés “hypnotiques”. Mais c’est (en théorie) rapporté par les</w:t>
      </w:r>
      <w:r>
        <w:t xml:space="preserve"> </w:t>
      </w:r>
      <w:r>
        <w:t xml:space="preserve">Hobbits, qui ont de très faibles connaissances en philosophie et en</w:t>
      </w:r>
      <w:r>
        <w:t xml:space="preserve"> </w:t>
      </w:r>
      <w:r>
        <w:t xml:space="preserve">science ; de plus Aragorn n’est pas un “Homme” pur, mais un lointain</w:t>
      </w:r>
      <w:r>
        <w:t xml:space="preserve"> </w:t>
      </w:r>
      <w:r>
        <w:t xml:space="preserve">descendant des “Enfants de Lúthien”. » Letters of J.R.R. Tolkien</w:t>
      </w:r>
      <w:r>
        <w:t xml:space="preserve"> </w:t>
      </w:r>
      <w:r>
        <w:t xml:space="preserve">n°155.</w:t>
      </w:r>
    </w:p>
    <w:p>
      <w:pPr>
        <w:pStyle w:val="FirstParagraph"/>
      </w:pPr>
      <w:r>
        <w:t xml:space="preserve">Cette analyse nous donne les premières bases de travail : les Elfes</w:t>
      </w:r>
      <w:r>
        <w:t xml:space="preserve"> </w:t>
      </w:r>
      <w:r>
        <w:t xml:space="preserve">utilisent la magie de manière innée, sans support, et ils puisent la</w:t>
      </w:r>
      <w:r>
        <w:t xml:space="preserve"> </w:t>
      </w:r>
      <w:r>
        <w:t xml:space="preserve">mana (le pouvoir magique) en leur for intérieur.</w:t>
      </w:r>
    </w:p>
    <w:bookmarkEnd w:id="25"/>
    <w:bookmarkStart w:id="26" w:name="Xb73c9ca2028b253e9f0d9c514eed20a48b82975"/>
    <w:p>
      <w:pPr>
        <w:pStyle w:val="Titre3"/>
      </w:pPr>
      <w:r>
        <w:t xml:space="preserve">N’y</w:t>
      </w:r>
      <w:r>
        <w:t xml:space="preserve"> </w:t>
      </w:r>
      <w:r>
        <w:t xml:space="preserve">a-t-il aucun exemple de mortels faisant usage de la magie ?</w:t>
      </w:r>
    </w:p>
    <w:p>
      <w:pPr>
        <w:pStyle w:val="FirstParagraph"/>
      </w:pPr>
      <w:r>
        <w:t xml:space="preserve">Si, comme toute chose en Terre du Milieu chez Tolkien, il semble y</w:t>
      </w:r>
      <w:r>
        <w:t xml:space="preserve"> </w:t>
      </w:r>
      <w:r>
        <w:t xml:space="preserve">avoir des exceptions.</w:t>
      </w:r>
    </w:p>
    <w:p>
      <w:pPr>
        <w:pStyle w:val="Corpsdetexte"/>
      </w:pPr>
      <w:r>
        <w:t xml:space="preserve">Notez les mots de Gandalf lorsque la compagnie essaye d’entrer par</w:t>
      </w:r>
      <w:r>
        <w:t xml:space="preserve"> </w:t>
      </w:r>
      <w:r>
        <w:t xml:space="preserve">les portes de la Moria :</w:t>
      </w:r>
    </w:p>
    <w:p>
      <w:pPr>
        <w:pStyle w:val="BlockText"/>
      </w:pPr>
      <w:r>
        <w:t xml:space="preserve">« Je connaissais tous les sorts dans toutes les langues elfiques,</w:t>
      </w:r>
      <w:r>
        <w:t xml:space="preserve"> </w:t>
      </w:r>
      <w:r>
        <w:t xml:space="preserve">humaines ou même orques, qui étaient employés dans ce but. » (Le</w:t>
      </w:r>
      <w:r>
        <w:t xml:space="preserve"> </w:t>
      </w:r>
      <w:r>
        <w:t xml:space="preserve">Seigneur des Anneaux - La Communauté de l’Anneau - Un voyage dans</w:t>
      </w:r>
      <w:r>
        <w:t xml:space="preserve"> </w:t>
      </w:r>
      <w:r>
        <w:t xml:space="preserve">l’obscurité).</w:t>
      </w:r>
    </w:p>
    <w:p>
      <w:pPr>
        <w:pStyle w:val="FirstParagraph"/>
      </w:pPr>
      <w:r>
        <w:t xml:space="preserve">Ce passage implique que d’autres races (même les Orques) peuvent</w:t>
      </w:r>
      <w:r>
        <w:t xml:space="preserve"> </w:t>
      </w:r>
      <w:r>
        <w:t xml:space="preserve">utiliser des sorts dans le but d’ouvrir les portes. Cependant il est</w:t>
      </w:r>
      <w:r>
        <w:t xml:space="preserve"> </w:t>
      </w:r>
      <w:r>
        <w:t xml:space="preserve">plus probable que le Portes de la Moria furent elles-mêmes « magiques »,</w:t>
      </w:r>
      <w:r>
        <w:t xml:space="preserve"> </w:t>
      </w:r>
      <w:r>
        <w:t xml:space="preserve">avec un mot/sort spécifique qui doit être dit pour les ouvrir :</w:t>
      </w:r>
      <w:r>
        <w:t xml:space="preserve"> </w:t>
      </w:r>
      <w:r>
        <w:rPr>
          <w:iCs/>
          <w:i/>
        </w:rPr>
        <w:t xml:space="preserve">« Mellon »</w:t>
      </w:r>
      <w:r>
        <w:t xml:space="preserve">.</w:t>
      </w:r>
    </w:p>
    <w:p>
      <w:pPr>
        <w:pStyle w:val="Corpsdetexte"/>
      </w:pPr>
      <w:r>
        <w:t xml:space="preserve">Les jeteurs de sorts non elfiques sont donc très rares mais ils</w:t>
      </w:r>
      <w:r>
        <w:t xml:space="preserve"> </w:t>
      </w:r>
      <w:r>
        <w:t xml:space="preserve">existent. Ces autres races n’ont pas de source innée de magie et doivent</w:t>
      </w:r>
      <w:r>
        <w:t xml:space="preserve"> </w:t>
      </w:r>
      <w:r>
        <w:t xml:space="preserve">donc puiser la mana dans des sources extérieures pour jeter des</w:t>
      </w:r>
      <w:r>
        <w:t xml:space="preserve"> </w:t>
      </w:r>
      <w:r>
        <w:t xml:space="preserve">sorts.</w:t>
      </w:r>
    </w:p>
    <w:bookmarkEnd w:id="26"/>
    <w:bookmarkStart w:id="27" w:name="quelle-est-la-nature-de-cette-magie"/>
    <w:p>
      <w:pPr>
        <w:pStyle w:val="Titre3"/>
      </w:pPr>
      <w:r>
        <w:t xml:space="preserve">Quelle est la nature de</w:t>
      </w:r>
      <w:r>
        <w:t xml:space="preserve"> </w:t>
      </w:r>
      <w:r>
        <w:t xml:space="preserve">cette magie ?</w:t>
      </w:r>
    </w:p>
    <w:p>
      <w:pPr>
        <w:pStyle w:val="FirstParagraph"/>
      </w:pPr>
      <w:r>
        <w:t xml:space="preserve">La nature de la magie est enveloppée dans la philosophie tolkienienne</w:t>
      </w:r>
      <w:r>
        <w:t xml:space="preserve"> </w:t>
      </w:r>
      <w:r>
        <w:t xml:space="preserve">du pouvoir et de la domination :</w:t>
      </w:r>
    </w:p>
    <w:p>
      <w:pPr>
        <w:pStyle w:val="BlockText"/>
      </w:pPr>
      <w:r>
        <w:t xml:space="preserve">« La magie elfique est un Art, libéré pour beaucoup de ses limites</w:t>
      </w:r>
      <w:r>
        <w:t xml:space="preserve"> </w:t>
      </w:r>
      <w:r>
        <w:t xml:space="preserve">humaines, plus facile, plus rapide, plus complète (produit et vision,</w:t>
      </w:r>
      <w:r>
        <w:t xml:space="preserve"> </w:t>
      </w:r>
      <w:r>
        <w:t xml:space="preserve">dans un correspondance parfaite) Et son but est l’Art, non le Pouvoir,</w:t>
      </w:r>
      <w:r>
        <w:t xml:space="preserve"> </w:t>
      </w:r>
      <w:r>
        <w:t xml:space="preserve">la création, non la domination ou une réforme tyrannique de la création…</w:t>
      </w:r>
      <w:r>
        <w:t xml:space="preserve"> </w:t>
      </w:r>
      <w:r>
        <w:t xml:space="preserve">L’Ennemi est toujours “naturellement” en rapport avec la pure</w:t>
      </w:r>
      <w:r>
        <w:t xml:space="preserve"> </w:t>
      </w:r>
      <w:r>
        <w:t xml:space="preserve">domination, tout comme le Seigneur de la magie et des machines… »</w:t>
      </w:r>
      <w:r>
        <w:t xml:space="preserve"> </w:t>
      </w:r>
      <w:r>
        <w:t xml:space="preserve">Letters of J.R.R. Tolkien n°131.</w:t>
      </w:r>
    </w:p>
    <w:p>
      <w:pPr>
        <w:pStyle w:val="FirstParagraph"/>
      </w:pPr>
      <w:r>
        <w:t xml:space="preserve">La bonne</w:t>
      </w:r>
      <w:r>
        <w:t xml:space="preserve"> </w:t>
      </w:r>
      <w:r>
        <w:rPr>
          <w:iCs/>
          <w:i/>
        </w:rPr>
        <w:t xml:space="preserve">magia</w:t>
      </w:r>
      <w:r>
        <w:t xml:space="preserve"> </w:t>
      </w:r>
      <w:r>
        <w:t xml:space="preserve">est censée être artistique dans le but de</w:t>
      </w:r>
      <w:r>
        <w:t xml:space="preserve"> </w:t>
      </w:r>
      <w:r>
        <w:t xml:space="preserve">créer ou de faire persévérer la beauté, contrairement à la mauvaise</w:t>
      </w:r>
      <w:r>
        <w:t xml:space="preserve"> </w:t>
      </w:r>
      <w:r>
        <w:rPr>
          <w:iCs/>
          <w:i/>
        </w:rPr>
        <w:t xml:space="preserve">magia</w:t>
      </w:r>
      <w:r>
        <w:t xml:space="preserve">, qui est utilisée comme « fourberie » ou pour dominer les</w:t>
      </w:r>
      <w:r>
        <w:t xml:space="preserve"> </w:t>
      </w:r>
      <w:r>
        <w:t xml:space="preserve">désirs des autres. Tolkien explique les différences de type et de</w:t>
      </w:r>
      <w:r>
        <w:t xml:space="preserve"> </w:t>
      </w:r>
      <w:r>
        <w:t xml:space="preserve">motivation de la magie dans une autre de ses lettres :</w:t>
      </w:r>
    </w:p>
    <w:p>
      <w:pPr>
        <w:pStyle w:val="BlockText"/>
      </w:pPr>
      <w:r>
        <w:t xml:space="preserve">« Mais je suppose que, dans l’optique du conte, d’aucuns diraient</w:t>
      </w:r>
      <w:r>
        <w:t xml:space="preserve"> </w:t>
      </w:r>
      <w:r>
        <w:t xml:space="preserve">qu’il y a une distinction latente comme celle entre “magia” et “goetia”.</w:t>
      </w:r>
      <w:r>
        <w:t xml:space="preserve"> </w:t>
      </w:r>
      <w:r>
        <w:t xml:space="preserve">Galadriel parle des “fourberies de l’Ennemi”. Bien, mais la magia peut</w:t>
      </w:r>
      <w:r>
        <w:t xml:space="preserve"> </w:t>
      </w:r>
      <w:r>
        <w:t xml:space="preserve">avoir été considérée comme bonne (</w:t>
      </w:r>
      <w:r>
        <w:rPr>
          <w:iCs/>
          <w:i/>
        </w:rPr>
        <w:t xml:space="preserve">per se</w:t>
      </w:r>
      <w:r>
        <w:t xml:space="preserve">), et la goetia</w:t>
      </w:r>
      <w:r>
        <w:t xml:space="preserve"> </w:t>
      </w:r>
      <w:r>
        <w:t xml:space="preserve">mauvaise. Ni l’une ni l’autre n’est dans cette histoire bonne ou</w:t>
      </w:r>
      <w:r>
        <w:t xml:space="preserve"> </w:t>
      </w:r>
      <w:r>
        <w:t xml:space="preserve">mauvaise (</w:t>
      </w:r>
      <w:r>
        <w:rPr>
          <w:iCs/>
          <w:i/>
        </w:rPr>
        <w:t xml:space="preserve">per se</w:t>
      </w:r>
      <w:r>
        <w:t xml:space="preserve">) sauf dans leur mobile ou leur but. Chacun</w:t>
      </w:r>
      <w:r>
        <w:t xml:space="preserve"> </w:t>
      </w:r>
      <w:r>
        <w:t xml:space="preserve">utilise les deux, mais pour des buts différents. Le motif le plus</w:t>
      </w:r>
      <w:r>
        <w:t xml:space="preserve"> </w:t>
      </w:r>
      <w:r>
        <w:t xml:space="preserve">mauvais est la domination des autres “esprits libres”. Les opérations de</w:t>
      </w:r>
      <w:r>
        <w:t xml:space="preserve"> </w:t>
      </w:r>
      <w:r>
        <w:t xml:space="preserve">l’Ennemi ne sont en aucun cas toutes des fourberies gothiques, mais de</w:t>
      </w:r>
      <w:r>
        <w:t xml:space="preserve"> </w:t>
      </w:r>
      <w:r>
        <w:t xml:space="preserve">la magie qui donne des effets réels dans le monde physique. Il utilise</w:t>
      </w:r>
      <w:r>
        <w:t xml:space="preserve"> </w:t>
      </w:r>
      <w:r>
        <w:t xml:space="preserve">sa magia pour forcer choses et personnes, et sa goetia pour terrifier et</w:t>
      </w:r>
      <w:r>
        <w:t xml:space="preserve"> </w:t>
      </w:r>
      <w:r>
        <w:t xml:space="preserve">subjuguer. Les Elfes et Gandalf usent (avec modération) leur magia : une</w:t>
      </w:r>
      <w:r>
        <w:t xml:space="preserve"> </w:t>
      </w:r>
      <w:r>
        <w:t xml:space="preserve">magia qui produit des effets réels (comme mettre le feu à des brindilles</w:t>
      </w:r>
      <w:r>
        <w:t xml:space="preserve"> </w:t>
      </w:r>
      <w:r>
        <w:t xml:space="preserve">mouillées) dans certains buts salutaires. Les effets gothiques sont</w:t>
      </w:r>
      <w:r>
        <w:t xml:space="preserve"> </w:t>
      </w:r>
      <w:r>
        <w:t xml:space="preserve">entièrement artistiques et n’ont pas l’intention de tromper : ils ne</w:t>
      </w:r>
      <w:r>
        <w:t xml:space="preserve"> </w:t>
      </w:r>
      <w:r>
        <w:t xml:space="preserve">trompent jamais les Elfes (mais peuvent abuser ou étonner les Hommes</w:t>
      </w:r>
      <w:r>
        <w:t xml:space="preserve"> </w:t>
      </w:r>
      <w:r>
        <w:t xml:space="preserve">ignorants) car la différence pour eux est aussi claire que pour nous</w:t>
      </w:r>
      <w:r>
        <w:t xml:space="preserve"> </w:t>
      </w:r>
      <w:r>
        <w:t xml:space="preserve">celle de la fiction, la peinture, la sculpture… et la vie. » Letters of</w:t>
      </w:r>
      <w:r>
        <w:t xml:space="preserve"> </w:t>
      </w:r>
      <w:r>
        <w:t xml:space="preserve">J.R.R. Tolkien n°155</w:t>
      </w:r>
    </w:p>
    <w:p>
      <w:pPr>
        <w:pStyle w:val="FirstParagraph"/>
      </w:pPr>
      <w:r>
        <w:t xml:space="preserve">Il existe donc deux grands types de magie : la magie de type elfique</w:t>
      </w:r>
      <w:r>
        <w:t xml:space="preserve"> </w:t>
      </w:r>
      <w:r>
        <w:t xml:space="preserve">utilisée par les Peuples Libres et la magie de l’Ennemi, pratiquée par</w:t>
      </w:r>
      <w:r>
        <w:t xml:space="preserve"> </w:t>
      </w:r>
      <w:r>
        <w:t xml:space="preserve">les forces sombres de Melkor et de Sauron.</w:t>
      </w:r>
    </w:p>
    <w:bookmarkEnd w:id="27"/>
    <w:bookmarkEnd w:id="28"/>
    <w:bookmarkStart w:id="31" w:name="la-magie-dans-harp-terre-du-milieu"/>
    <w:p>
      <w:pPr>
        <w:pStyle w:val="Titre2"/>
      </w:pPr>
      <w:r>
        <w:t xml:space="preserve">La magie dans HARP | Terre</w:t>
      </w:r>
      <w:r>
        <w:t xml:space="preserve"> </w:t>
      </w:r>
      <w:r>
        <w:t xml:space="preserve">du Milieu</w:t>
      </w:r>
    </w:p>
    <w:p>
      <w:pPr>
        <w:pStyle w:val="FirstParagraph"/>
      </w:pPr>
      <w:r>
        <w:t xml:space="preserve">On peut donc statuer, pour simplifier les choses dans le cadre de nos</w:t>
      </w:r>
      <w:r>
        <w:t xml:space="preserve"> </w:t>
      </w:r>
      <w:r>
        <w:t xml:space="preserve">jeux de rôles en restant cohérent avec les écrits du Professeur :</w:t>
      </w:r>
    </w:p>
    <w:p>
      <w:pPr>
        <w:numPr>
          <w:ilvl w:val="0"/>
          <w:numId w:val="1001"/>
        </w:numPr>
        <w:pStyle w:val="Compact"/>
      </w:pPr>
      <w:r>
        <w:t xml:space="preserve">Les elfes utilisent des pouvoirs innés pour créer des effets</w:t>
      </w:r>
      <w:r>
        <w:t xml:space="preserve"> </w:t>
      </w:r>
      <w:r>
        <w:t xml:space="preserve">magiques, ils sont leur propre source de mana et leurs incantations sont</w:t>
      </w:r>
      <w:r>
        <w:t xml:space="preserve"> </w:t>
      </w:r>
      <w:r>
        <w:t xml:space="preserve">souvent chantées.</w:t>
      </w:r>
      <w:r>
        <w:br/>
      </w:r>
    </w:p>
    <w:p>
      <w:pPr>
        <w:numPr>
          <w:ilvl w:val="0"/>
          <w:numId w:val="1001"/>
        </w:numPr>
        <w:pStyle w:val="Compact"/>
      </w:pPr>
      <w:r>
        <w:t xml:space="preserve">Les autres races, dont les hommes, se servent de catalyseurs pour</w:t>
      </w:r>
      <w:r>
        <w:t xml:space="preserve"> </w:t>
      </w:r>
      <w:r>
        <w:t xml:space="preserve">jeter des sorts, que ce soient des bâtons pour les mages ou des runes</w:t>
      </w:r>
      <w:r>
        <w:t xml:space="preserve"> </w:t>
      </w:r>
      <w:r>
        <w:t xml:space="preserve">pour les nains. Ils puisent la mana dans des sources externes et leurs</w:t>
      </w:r>
      <w:r>
        <w:t xml:space="preserve"> </w:t>
      </w:r>
      <w:r>
        <w:t xml:space="preserve">incantations sont parlées ou écrites.</w:t>
      </w:r>
      <w:r>
        <w:br/>
      </w:r>
    </w:p>
    <w:p>
      <w:pPr>
        <w:numPr>
          <w:ilvl w:val="0"/>
          <w:numId w:val="1001"/>
        </w:numPr>
        <w:pStyle w:val="Compact"/>
      </w:pPr>
      <w:r>
        <w:t xml:space="preserve">Les races sous l’emprise de l’Ennemi font elles appel au sombre</w:t>
      </w:r>
      <w:r>
        <w:t xml:space="preserve"> </w:t>
      </w:r>
      <w:r>
        <w:t xml:space="preserve">pouvoir pour invoquer de la sorcellerie, une magie dont les buts sont</w:t>
      </w:r>
      <w:r>
        <w:t xml:space="preserve"> </w:t>
      </w:r>
      <w:r>
        <w:t xml:space="preserve">néfastes. Ils ont aussi besoin d’une source de mana externe pour lancer</w:t>
      </w:r>
      <w:r>
        <w:t xml:space="preserve"> </w:t>
      </w:r>
      <w:r>
        <w:t xml:space="preserve">leurs incantations parlées.</w:t>
      </w:r>
    </w:p>
    <w:p>
      <w:pPr>
        <w:pStyle w:val="FirstParagraph"/>
      </w:pPr>
      <w:r>
        <w:t xml:space="preserve">Nous allons donc définir deux grands regroupements pour les sphères</w:t>
      </w:r>
      <w:r>
        <w:t xml:space="preserve"> </w:t>
      </w:r>
      <w:r>
        <w:t xml:space="preserve">de magie, le</w:t>
      </w:r>
      <w:r>
        <w:t xml:space="preserve"> </w:t>
      </w:r>
      <w:r>
        <w:rPr>
          <w:bCs/>
          <w:b/>
        </w:rPr>
        <w:t xml:space="preserve">« libram magia »</w:t>
      </w:r>
      <w:r>
        <w:t xml:space="preserve"> </w:t>
      </w:r>
      <w:r>
        <w:t xml:space="preserve">pour la magie des Peuples</w:t>
      </w:r>
      <w:r>
        <w:t xml:space="preserve"> </w:t>
      </w:r>
      <w:r>
        <w:t xml:space="preserve">Libres, dont le mode d’accès diffèrera suivant la race (Elfe, Homme,</w:t>
      </w:r>
      <w:r>
        <w:t xml:space="preserve"> </w:t>
      </w:r>
      <w:r>
        <w:t xml:space="preserve">Nain) du jeteur de sorts, et le</w:t>
      </w:r>
      <w:r>
        <w:t xml:space="preserve"> </w:t>
      </w:r>
      <w:r>
        <w:rPr>
          <w:bCs/>
          <w:b/>
        </w:rPr>
        <w:t xml:space="preserve">« libram goetia »</w:t>
      </w:r>
      <w:r>
        <w:t xml:space="preserve">,</w:t>
      </w:r>
      <w:r>
        <w:t xml:space="preserve"> </w:t>
      </w:r>
      <w:r>
        <w:t xml:space="preserve">réservée aux serviteurs de l’Ennemi.</w:t>
      </w:r>
    </w:p>
    <w:p>
      <w:pPr>
        <w:pStyle w:val="Corpsdetexte"/>
      </w:pPr>
      <w:r>
        <w:t xml:space="preserve">Auteur :</w:t>
      </w:r>
      <w:r>
        <w:t xml:space="preserve"> </w:t>
      </w:r>
      <w:hyperlink r:id="rId29">
        <w:r>
          <w:rPr>
            <w:rStyle w:val="Hyperlink"/>
          </w:rPr>
          <w:t xml:space="preserve">Mando</w:t>
        </w:r>
      </w:hyperlink>
      <w:r>
        <w:t xml:space="preserve"> </w:t>
      </w:r>
      <w:r>
        <w:t xml:space="preserve">[17/10/2004]</w:t>
      </w:r>
    </w:p>
    <w:p>
      <w:pPr>
        <w:pStyle w:val="Corpsdetexte"/>
      </w:pPr>
      <w:r>
        <w:t xml:space="preserve">Sources :</w:t>
      </w:r>
      <w:r>
        <w:t xml:space="preserve"> </w:t>
      </w:r>
      <w:hyperlink r:id="rId24">
        <w:r>
          <w:rPr>
            <w:rStyle w:val="Hyperlink"/>
          </w:rPr>
          <w:t xml:space="preserve">Tolkiendil</w:t>
        </w:r>
      </w:hyperlink>
      <w:r>
        <w:t xml:space="preserve"> </w:t>
      </w:r>
      <w:r>
        <w:t xml:space="preserve">-</w:t>
      </w:r>
      <w:r>
        <w:t xml:space="preserve"> </w:t>
      </w:r>
      <w:r>
        <w:t xml:space="preserve">Auteur de l’essai cité :</w:t>
      </w:r>
      <w:r>
        <w:t xml:space="preserve"> </w:t>
      </w:r>
      <w:hyperlink r:id="rId30">
        <w:r>
          <w:rPr>
            <w:rStyle w:val="Hyperlink"/>
          </w:rPr>
          <w:t xml:space="preserve">Erik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Tracy</w:t>
        </w:r>
      </w:hyperlink>
      <w:r>
        <w:t xml:space="preserve">. Cité avec autorisation.</w:t>
      </w:r>
    </w:p>
    <w:bookmarkEnd w:id="31"/>
    <w:bookmarkEnd w:id="32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hyperlink" Id="rId24" Target="http://www.tolkiendil.com/" TargetMode="External" /><Relationship Type="http://schemas.openxmlformats.org/officeDocument/2006/relationships/hyperlink" Id="rId23" Target="http://www.tolkiendil.com/essais/essmagieetsorts.php" TargetMode="External" /><Relationship Type="http://schemas.openxmlformats.org/officeDocument/2006/relationships/hyperlink" Id="rId30" Target="mailto:erikt@erikt.cts.com" TargetMode="External" /><Relationship Type="http://schemas.openxmlformats.org/officeDocument/2006/relationships/hyperlink" Id="rId29" Target="mailto:mando_fr@hotmail.com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4" Target="http://www.tolkiendil.com/" TargetMode="External" /><Relationship Type="http://schemas.openxmlformats.org/officeDocument/2006/relationships/hyperlink" Id="rId23" Target="http://www.tolkiendil.com/essais/essmagieetsorts.php" TargetMode="External" /><Relationship Type="http://schemas.openxmlformats.org/officeDocument/2006/relationships/hyperlink" Id="rId30" Target="mailto:erikt@erikt.cts.com" TargetMode="External" /><Relationship Type="http://schemas.openxmlformats.org/officeDocument/2006/relationships/hyperlink" Id="rId29" Target="mailto:mando_fr@hotmail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 · La magie en Terre du Milieu</dc:title>
  <dc:creator/>
  <dc:language/>
  <cp:keywords/>
  <dcterms:created xsi:type="dcterms:W3CDTF">2023-12-11T20:18:11Z</dcterms:created>
  <dcterms:modified xsi:type="dcterms:W3CDTF">2023-12-11T20:18:11Z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